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619"/>
      </w:tblGrid>
      <w:tr w:rsidR="00795F19" w:rsidRPr="001A3974" w:rsidTr="007D75FA">
        <w:tc>
          <w:tcPr>
            <w:tcW w:w="1078" w:type="pct"/>
          </w:tcPr>
          <w:p w:rsidR="00795F19" w:rsidRPr="001A3974" w:rsidRDefault="00795F19" w:rsidP="00795F19">
            <w:pPr>
              <w:pStyle w:val="NoSpacing"/>
              <w:jc w:val="center"/>
              <w:rPr>
                <w:rFonts w:asciiTheme="minorHAnsi" w:hAnsiTheme="minorHAnsi" w:cstheme="minorHAnsi"/>
                <w:b/>
                <w:sz w:val="28"/>
                <w:szCs w:val="24"/>
              </w:rPr>
            </w:pPr>
            <w:r w:rsidRPr="001A3974">
              <w:rPr>
                <w:rFonts w:asciiTheme="minorHAnsi" w:hAnsiTheme="minorHAnsi" w:cstheme="minorHAnsi"/>
                <w:b/>
                <w:sz w:val="28"/>
                <w:szCs w:val="24"/>
              </w:rPr>
              <w:t>UNIT</w:t>
            </w:r>
          </w:p>
        </w:tc>
        <w:tc>
          <w:tcPr>
            <w:tcW w:w="3922" w:type="pct"/>
          </w:tcPr>
          <w:p w:rsidR="00795F19" w:rsidRPr="001A3974" w:rsidRDefault="000D530A" w:rsidP="00795F19">
            <w:pPr>
              <w:pStyle w:val="NoSpacing"/>
              <w:jc w:val="center"/>
              <w:rPr>
                <w:rFonts w:asciiTheme="minorHAnsi" w:hAnsiTheme="minorHAnsi" w:cstheme="minorHAnsi"/>
                <w:b/>
                <w:sz w:val="28"/>
                <w:szCs w:val="24"/>
              </w:rPr>
            </w:pPr>
            <w:r>
              <w:rPr>
                <w:rFonts w:asciiTheme="minorHAnsi" w:hAnsiTheme="minorHAnsi" w:cstheme="minorHAnsi"/>
                <w:b/>
                <w:sz w:val="28"/>
                <w:szCs w:val="24"/>
              </w:rPr>
              <w:t>Year 2</w:t>
            </w:r>
            <w:bookmarkStart w:id="0" w:name="_GoBack"/>
            <w:bookmarkEnd w:id="0"/>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t>AUTUMN TERM 2019</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Creation</w:t>
            </w:r>
          </w:p>
        </w:tc>
        <w:tc>
          <w:tcPr>
            <w:tcW w:w="3922" w:type="pct"/>
            <w:vAlign w:val="center"/>
          </w:tcPr>
          <w:p w:rsidR="00795F19" w:rsidRPr="000D530A" w:rsidRDefault="000D530A" w:rsidP="000D530A">
            <w:pPr>
              <w:jc w:val="both"/>
            </w:pPr>
            <w:r w:rsidRPr="009B57A8">
              <w:t xml:space="preserve">This unit is designed to give some insight into the stories and characters of the Old Testament. It will build on their knowledge of God as creator and start to provide an image of God wishing to protect and care for His universe. It highlights how God works through people to exercise this care and protection. The unit should also begin to highlight the importance of the Old Testament for the Church. And why we </w:t>
            </w:r>
            <w:r w:rsidRPr="009B57A8">
              <w:rPr>
                <w:b/>
                <w:i/>
              </w:rPr>
              <w:t>proclaim</w:t>
            </w:r>
            <w:r w:rsidRPr="009B57A8">
              <w:t xml:space="preserve"> it as the Word of God.</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Prayers Feasts and Saints</w:t>
            </w:r>
          </w:p>
        </w:tc>
        <w:tc>
          <w:tcPr>
            <w:tcW w:w="3922" w:type="pct"/>
            <w:vAlign w:val="center"/>
          </w:tcPr>
          <w:p w:rsidR="00795F19" w:rsidRPr="000D530A" w:rsidRDefault="000D530A" w:rsidP="000D530A">
            <w:pPr>
              <w:jc w:val="both"/>
            </w:pPr>
            <w:r w:rsidRPr="009C27AD">
              <w:t>This unit is designed to extend the children’s knowledge and understanding of the life of Mary and Jesus through prayer (Rosary, with a particular focus on the Mysteries of the Light) and Scripture. The children will extend their knowledge of the liturgical cycle. They will learn about how we are called to respond to Jesus. They will learn about some saints who r</w:t>
            </w:r>
            <w:r>
              <w:t xml:space="preserve">esponded to the call of Jesus. </w:t>
            </w:r>
          </w:p>
        </w:tc>
      </w:tr>
      <w:tr w:rsidR="00795F19" w:rsidRPr="001A3974"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21.10.19</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Islam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Sacraments</w:t>
            </w:r>
          </w:p>
        </w:tc>
        <w:tc>
          <w:tcPr>
            <w:tcW w:w="3922" w:type="pct"/>
            <w:vAlign w:val="center"/>
          </w:tcPr>
          <w:p w:rsidR="00795F19" w:rsidRPr="000D530A" w:rsidRDefault="000D530A" w:rsidP="000D530A">
            <w:pPr>
              <w:jc w:val="both"/>
            </w:pPr>
            <w:r>
              <w:t>The purpose this unit is to enable the children to develop their understanding of what a sacrament is. This understanding is developed through exploration of what happens during the Sacraments of Baptism, Matrimony and the Eucharist.</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Advent</w:t>
            </w:r>
          </w:p>
        </w:tc>
        <w:tc>
          <w:tcPr>
            <w:tcW w:w="3922" w:type="pct"/>
            <w:vAlign w:val="center"/>
          </w:tcPr>
          <w:p w:rsidR="000D530A" w:rsidRPr="00E727B1" w:rsidRDefault="000D530A" w:rsidP="000D530A">
            <w:pPr>
              <w:jc w:val="both"/>
            </w:pPr>
            <w:r w:rsidRPr="00E727B1">
              <w:t xml:space="preserve">This unit is designed to deepen pupils’ knowledge and understanding of the season of Advent. It looks at getting ready for the </w:t>
            </w:r>
            <w:r>
              <w:t>Birth</w:t>
            </w:r>
            <w:r w:rsidRPr="00E727B1">
              <w:t xml:space="preserve"> of Jesus by helping us remember that God promised to send us His </w:t>
            </w:r>
            <w:r>
              <w:t>S</w:t>
            </w:r>
            <w:r w:rsidRPr="00E727B1">
              <w:t>on and that Jesus is the fulfilment of that promise. It introduces the idea of what a prophet d</w:t>
            </w:r>
            <w:r>
              <w:t>oes</w:t>
            </w:r>
            <w:r w:rsidRPr="00E727B1">
              <w:t xml:space="preserve"> and what angels do. </w:t>
            </w:r>
          </w:p>
          <w:p w:rsidR="00795F19" w:rsidRPr="000D530A" w:rsidRDefault="000D530A" w:rsidP="000D530A">
            <w:pPr>
              <w:jc w:val="both"/>
            </w:pPr>
            <w:r w:rsidRPr="00E727B1">
              <w:t>It helps us understand that people such as John the Baptist help us understand the nature of this promise and provide example and inspiration of how we should respond to it. Further reinforcement is provided on the symbolism of Advent. It also develops the idea that we get ready as a parish community</w:t>
            </w:r>
            <w:r>
              <w:t>, as the family of God.</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Christmas</w:t>
            </w:r>
          </w:p>
        </w:tc>
        <w:tc>
          <w:tcPr>
            <w:tcW w:w="3922" w:type="pct"/>
            <w:vAlign w:val="center"/>
          </w:tcPr>
          <w:p w:rsidR="000D530A" w:rsidRDefault="000D530A" w:rsidP="000D530A">
            <w:pPr>
              <w:jc w:val="both"/>
            </w:pPr>
            <w:r w:rsidRPr="002472A5">
              <w:t xml:space="preserve">This purpose of this unit is to deepen understanding of the Annunciation and the events of the Christmas story. Emphasis is placed on the journeys associated with the </w:t>
            </w:r>
            <w:r>
              <w:t>Birth</w:t>
            </w:r>
            <w:r w:rsidRPr="002472A5">
              <w:t xml:space="preserve"> of Jesus</w:t>
            </w:r>
            <w:r>
              <w:t>,</w:t>
            </w:r>
            <w:r w:rsidRPr="002472A5">
              <w:t xml:space="preserve"> as well as highlighting what we learn about Jesus from these </w:t>
            </w:r>
            <w:r>
              <w:t>j</w:t>
            </w:r>
            <w:r w:rsidRPr="002472A5">
              <w:t xml:space="preserve">ourneys. This </w:t>
            </w:r>
            <w:smartTag w:uri="urn:schemas-microsoft-com:office:smarttags" w:element="PersonName">
              <w:r w:rsidRPr="002472A5">
                <w:t>work</w:t>
              </w:r>
            </w:smartTag>
            <w:r w:rsidRPr="002472A5">
              <w:t xml:space="preserve"> will help set the context socially, religiously and geographically for the </w:t>
            </w:r>
            <w:r>
              <w:t>Birth</w:t>
            </w:r>
            <w:r w:rsidRPr="002472A5">
              <w:t xml:space="preserve"> of Jesus.</w:t>
            </w:r>
          </w:p>
          <w:p w:rsidR="00795F19" w:rsidRPr="000D530A" w:rsidRDefault="000D530A" w:rsidP="000D530A">
            <w:pPr>
              <w:jc w:val="both"/>
            </w:pPr>
            <w:r w:rsidRPr="002472A5">
              <w:t xml:space="preserve">The question is also raised of the implications for the Church’s </w:t>
            </w:r>
            <w:smartTag w:uri="urn:schemas-microsoft-com:office:smarttags" w:element="PersonName">
              <w:r w:rsidRPr="002472A5">
                <w:t>work</w:t>
              </w:r>
            </w:smartTag>
            <w:r w:rsidRPr="002472A5">
              <w:t xml:space="preserve"> today. For example consideration is given to the Church’s </w:t>
            </w:r>
            <w:smartTag w:uri="urn:schemas-microsoft-com:office:smarttags" w:element="PersonName">
              <w:r w:rsidRPr="002472A5">
                <w:t>work</w:t>
              </w:r>
            </w:smartTag>
            <w:r w:rsidRPr="002472A5">
              <w:t xml:space="preserve"> with</w:t>
            </w:r>
            <w:r>
              <w:t xml:space="preserve"> refugees in the light of the ‘F</w:t>
            </w:r>
            <w:r w:rsidRPr="002472A5">
              <w:t>light to Egypt</w:t>
            </w:r>
            <w:r>
              <w:t xml:space="preserve">’. </w:t>
            </w:r>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t>SPRING TERM 2020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Feasts of Christmas - Epiphany</w:t>
            </w:r>
          </w:p>
        </w:tc>
        <w:tc>
          <w:tcPr>
            <w:tcW w:w="3922" w:type="pct"/>
            <w:vAlign w:val="center"/>
          </w:tcPr>
          <w:p w:rsidR="00795F19" w:rsidRPr="007D75FA" w:rsidRDefault="00795F19" w:rsidP="00795F19">
            <w:pPr>
              <w:pStyle w:val="NoSpacing"/>
              <w:rPr>
                <w:rFonts w:ascii="Twinkl" w:hAnsi="Twinkl" w:cstheme="minorHAnsi"/>
                <w:sz w:val="24"/>
                <w:szCs w:val="24"/>
              </w:rPr>
            </w:pPr>
            <w:r w:rsidRPr="007D75FA">
              <w:rPr>
                <w:rFonts w:ascii="Twinkl" w:hAnsi="Twinkl"/>
                <w:sz w:val="24"/>
                <w:szCs w:val="24"/>
              </w:rPr>
              <w:t>A focus is also provided on Christmas being a time of prayer and devotion.</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Revelation</w:t>
            </w:r>
          </w:p>
        </w:tc>
        <w:tc>
          <w:tcPr>
            <w:tcW w:w="3922" w:type="pct"/>
            <w:vAlign w:val="center"/>
          </w:tcPr>
          <w:p w:rsidR="00795F19" w:rsidRPr="000D530A" w:rsidRDefault="000D530A" w:rsidP="000D530A">
            <w:pPr>
              <w:jc w:val="both"/>
            </w:pPr>
            <w:r w:rsidRPr="00464DE6">
              <w:t xml:space="preserve">This helps the pupils become aware of stories from </w:t>
            </w:r>
            <w:r>
              <w:t>S</w:t>
            </w:r>
            <w:r w:rsidRPr="00464DE6">
              <w:t>cripture</w:t>
            </w:r>
            <w:r>
              <w:t>,</w:t>
            </w:r>
            <w:r w:rsidRPr="00464DE6">
              <w:t xml:space="preserve"> which show how special Jesus is. The miracle stories show that the </w:t>
            </w:r>
            <w:smartTag w:uri="urn:schemas-microsoft-com:office:smarttags" w:element="place">
              <w:smartTag w:uri="urn:schemas-microsoft-com:office:smarttags" w:element="PlaceType">
                <w:r w:rsidRPr="00464DE6">
                  <w:t>Kingdom</w:t>
                </w:r>
              </w:smartTag>
              <w:r w:rsidRPr="00464DE6">
                <w:t xml:space="preserve"> of </w:t>
              </w:r>
              <w:smartTag w:uri="urn:schemas-microsoft-com:office:smarttags" w:element="PlaceName">
                <w:r w:rsidRPr="00464DE6">
                  <w:t>God</w:t>
                </w:r>
              </w:smartTag>
            </w:smartTag>
            <w:r w:rsidRPr="00464DE6">
              <w:t xml:space="preserve"> is present within him. The unit enables the pupils to explore the parables and begin to understand some of the meaning behind them</w:t>
            </w:r>
            <w:r>
              <w:t>.</w:t>
            </w:r>
          </w:p>
        </w:tc>
      </w:tr>
      <w:tr w:rsidR="00795F19" w:rsidRPr="0091415D"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color w:val="000000" w:themeColor="text1"/>
                <w:sz w:val="28"/>
                <w:szCs w:val="24"/>
              </w:rPr>
            </w:pPr>
            <w:r w:rsidRPr="0091415D">
              <w:rPr>
                <w:rFonts w:asciiTheme="minorHAnsi" w:hAnsiTheme="minorHAnsi" w:cstheme="minorHAnsi"/>
                <w:b/>
                <w:color w:val="000000" w:themeColor="text1"/>
                <w:sz w:val="28"/>
                <w:szCs w:val="24"/>
              </w:rPr>
              <w:t>Half Term 17.02.20</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Judaism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1408"/>
        </w:trPr>
        <w:tc>
          <w:tcPr>
            <w:tcW w:w="1078" w:type="pct"/>
            <w:shd w:val="clear" w:color="auto" w:fill="FFFFFF"/>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Lent</w:t>
            </w:r>
          </w:p>
        </w:tc>
        <w:tc>
          <w:tcPr>
            <w:tcW w:w="3922" w:type="pct"/>
            <w:shd w:val="clear" w:color="auto" w:fill="FFFFFF"/>
            <w:vAlign w:val="center"/>
          </w:tcPr>
          <w:p w:rsidR="00795F19" w:rsidRPr="000D530A" w:rsidRDefault="000D530A" w:rsidP="000D530A">
            <w:pPr>
              <w:jc w:val="both"/>
              <w:rPr>
                <w:lang w:val="en-US"/>
              </w:rPr>
            </w:pPr>
            <w:r w:rsidRPr="00D9719F">
              <w:rPr>
                <w:lang w:val="en-US"/>
              </w:rPr>
              <w:t>This unit re</w:t>
            </w:r>
            <w:r>
              <w:rPr>
                <w:lang w:val="en-US"/>
              </w:rPr>
              <w:t>in</w:t>
            </w:r>
            <w:r w:rsidRPr="00D9719F">
              <w:rPr>
                <w:lang w:val="en-US"/>
              </w:rPr>
              <w:t>forces the understanding of Lent as being preparation for Easter, commencing with Ash Wednes</w:t>
            </w:r>
            <w:r>
              <w:rPr>
                <w:lang w:val="en-US"/>
              </w:rPr>
              <w:t xml:space="preserve">day and being a time of seeking forgiveness and doing penance. The parables of the lost sheep and the unforgiving servant reinforce this teaching. The words of the Our Father help us to consider both the importance of prayer and the relationship between Jesus and the Father. </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Holy Week </w:t>
            </w:r>
          </w:p>
        </w:tc>
        <w:tc>
          <w:tcPr>
            <w:tcW w:w="3922" w:type="pct"/>
            <w:vAlign w:val="center"/>
          </w:tcPr>
          <w:p w:rsidR="00795F19" w:rsidRPr="000D530A" w:rsidRDefault="000D530A" w:rsidP="000D530A">
            <w:pPr>
              <w:jc w:val="both"/>
            </w:pPr>
            <w:r>
              <w:t xml:space="preserve">This unit introduces further work on the Stations of the Cross as a prayer. </w:t>
            </w:r>
            <w:proofErr w:type="gramStart"/>
            <w:r>
              <w:t>this</w:t>
            </w:r>
            <w:proofErr w:type="gramEnd"/>
            <w:r>
              <w:t xml:space="preserve"> enables pupils to reflect on the arrest and crucifixion of Jesus and begin to develop the skills of empathy by considering Holy Week events through  the eyes of Mary.</w:t>
            </w:r>
          </w:p>
        </w:tc>
      </w:tr>
      <w:tr w:rsidR="00795F19" w:rsidRPr="001A3974" w:rsidTr="00795F19">
        <w:trPr>
          <w:trHeight w:val="425"/>
        </w:trPr>
        <w:tc>
          <w:tcPr>
            <w:tcW w:w="5000" w:type="pct"/>
            <w:gridSpan w:val="2"/>
            <w:shd w:val="clear" w:color="auto" w:fill="FFC00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b/>
                <w:sz w:val="28"/>
                <w:szCs w:val="24"/>
              </w:rPr>
              <w:lastRenderedPageBreak/>
              <w:t>SUMMER TERM 2020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Easter</w:t>
            </w:r>
          </w:p>
        </w:tc>
        <w:tc>
          <w:tcPr>
            <w:tcW w:w="3922" w:type="pct"/>
            <w:vAlign w:val="center"/>
          </w:tcPr>
          <w:p w:rsidR="00795F19" w:rsidRPr="007D75FA" w:rsidRDefault="000D530A" w:rsidP="0034646E">
            <w:pPr>
              <w:spacing w:after="0" w:line="240" w:lineRule="auto"/>
              <w:jc w:val="both"/>
              <w:rPr>
                <w:rFonts w:ascii="Twinkl" w:hAnsi="Twinkl"/>
                <w:sz w:val="24"/>
                <w:szCs w:val="24"/>
              </w:rPr>
            </w:pPr>
            <w:r>
              <w:t>Further detail is provided for the account of the empty tomb. Thomas is introduced to help pupils understand that not all people responded to the resurrection of Jesus in the same way. The accounts are found in the Gospels. Detail is provided for the symbolism of Easter</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3922" w:type="pct"/>
            <w:vAlign w:val="center"/>
          </w:tcPr>
          <w:p w:rsidR="00795F19" w:rsidRPr="000D530A" w:rsidRDefault="000D530A" w:rsidP="000D530A">
            <w:pPr>
              <w:jc w:val="both"/>
            </w:pPr>
            <w:r>
              <w:t>In this unit, the pupils’ knowledge of the Pentecost story is built upon. Some key concepts of the events at Pentecost are shared. The nature of the promise made by Jesus is a key focus. An understanding of Pentecost as the birthday of the Church is developed. Links are also made between Confirmation and Pentecost.</w:t>
            </w:r>
          </w:p>
        </w:tc>
      </w:tr>
      <w:tr w:rsidR="00795F19" w:rsidRPr="0091415D" w:rsidTr="00795F19">
        <w:trPr>
          <w:trHeight w:val="425"/>
        </w:trPr>
        <w:tc>
          <w:tcPr>
            <w:tcW w:w="5000" w:type="pct"/>
            <w:gridSpan w:val="2"/>
            <w:shd w:val="clear" w:color="auto" w:fill="FFE599" w:themeFill="accent4" w:themeFillTint="66"/>
            <w:vAlign w:val="center"/>
          </w:tcPr>
          <w:p w:rsidR="00795F19" w:rsidRPr="0091415D" w:rsidRDefault="00795F19" w:rsidP="00795F19">
            <w:pPr>
              <w:pStyle w:val="NoSpacing"/>
              <w:rPr>
                <w:rFonts w:asciiTheme="minorHAnsi" w:hAnsiTheme="minorHAnsi" w:cstheme="minorHAnsi"/>
                <w:b/>
                <w:color w:val="000000" w:themeColor="text1"/>
                <w:sz w:val="28"/>
                <w:szCs w:val="24"/>
              </w:rPr>
            </w:pPr>
            <w:r w:rsidRPr="0091415D">
              <w:rPr>
                <w:rFonts w:asciiTheme="minorHAnsi" w:hAnsiTheme="minorHAnsi" w:cstheme="minorHAnsi"/>
                <w:b/>
                <w:color w:val="000000" w:themeColor="text1"/>
                <w:sz w:val="28"/>
                <w:szCs w:val="24"/>
              </w:rPr>
              <w:t>Half Term 25.05.20</w:t>
            </w:r>
          </w:p>
        </w:tc>
      </w:tr>
      <w:tr w:rsidR="00795F19" w:rsidRPr="001A3974" w:rsidTr="007D75FA">
        <w:trPr>
          <w:trHeight w:val="425"/>
        </w:trPr>
        <w:tc>
          <w:tcPr>
            <w:tcW w:w="1078" w:type="pct"/>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Pentecost and Mission</w:t>
            </w:r>
          </w:p>
        </w:tc>
        <w:tc>
          <w:tcPr>
            <w:tcW w:w="3922" w:type="pct"/>
            <w:vAlign w:val="center"/>
          </w:tcPr>
          <w:p w:rsidR="00795F19" w:rsidRPr="000D530A" w:rsidRDefault="007D75FA" w:rsidP="00795F19">
            <w:pPr>
              <w:pStyle w:val="NoSpacing"/>
              <w:rPr>
                <w:rFonts w:asciiTheme="minorHAnsi" w:hAnsiTheme="minorHAnsi" w:cstheme="minorHAnsi"/>
                <w:sz w:val="24"/>
                <w:szCs w:val="24"/>
              </w:rPr>
            </w:pPr>
            <w:r w:rsidRPr="000D530A">
              <w:rPr>
                <w:rFonts w:asciiTheme="minorHAnsi" w:hAnsiTheme="minorHAnsi" w:cstheme="minorHAnsi"/>
                <w:sz w:val="24"/>
                <w:szCs w:val="24"/>
              </w:rPr>
              <w:t>Continued after half term</w:t>
            </w: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Sikhism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95F19" w:rsidRPr="001A3974" w:rsidTr="007D75FA">
        <w:trPr>
          <w:trHeight w:val="425"/>
        </w:trPr>
        <w:tc>
          <w:tcPr>
            <w:tcW w:w="1078"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Hinduism</w:t>
            </w:r>
          </w:p>
        </w:tc>
        <w:tc>
          <w:tcPr>
            <w:tcW w:w="3922" w:type="pct"/>
            <w:shd w:val="clear" w:color="auto" w:fill="00B0F0"/>
            <w:vAlign w:val="center"/>
          </w:tcPr>
          <w:p w:rsidR="00795F19" w:rsidRPr="001A3974" w:rsidRDefault="00795F19" w:rsidP="00795F19">
            <w:pPr>
              <w:pStyle w:val="NoSpacing"/>
              <w:rPr>
                <w:rFonts w:asciiTheme="minorHAnsi" w:hAnsiTheme="minorHAnsi" w:cstheme="minorHAnsi"/>
                <w:sz w:val="28"/>
                <w:szCs w:val="24"/>
              </w:rPr>
            </w:pPr>
          </w:p>
        </w:tc>
      </w:tr>
      <w:tr w:rsidR="007D75FA" w:rsidRPr="001A3974" w:rsidTr="007D75FA">
        <w:tc>
          <w:tcPr>
            <w:tcW w:w="5000" w:type="pct"/>
            <w:gridSpan w:val="2"/>
            <w:shd w:val="clear" w:color="auto" w:fill="auto"/>
          </w:tcPr>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Big Questions of Faith</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 xml:space="preserve">Project RE e.g. </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Going Back to Areas of Concern</w:t>
            </w:r>
          </w:p>
          <w:p w:rsidR="007D75FA" w:rsidRPr="001A3974" w:rsidRDefault="007D75FA" w:rsidP="00795F19">
            <w:pPr>
              <w:pStyle w:val="NoSpacing"/>
              <w:rPr>
                <w:rFonts w:asciiTheme="minorHAnsi" w:hAnsiTheme="minorHAnsi" w:cstheme="minorHAnsi"/>
                <w:sz w:val="28"/>
                <w:szCs w:val="24"/>
              </w:rPr>
            </w:pPr>
            <w:r w:rsidRPr="001A3974">
              <w:rPr>
                <w:rFonts w:asciiTheme="minorHAnsi" w:hAnsiTheme="minorHAnsi" w:cstheme="minorHAnsi"/>
                <w:sz w:val="28"/>
                <w:szCs w:val="24"/>
              </w:rPr>
              <w:t>Retreat/Pilgrimage Experiences</w:t>
            </w:r>
          </w:p>
        </w:tc>
      </w:tr>
    </w:tbl>
    <w:p w:rsidR="00C32843" w:rsidRPr="00AE1B04" w:rsidRDefault="00C32843" w:rsidP="00795F19">
      <w:pPr>
        <w:pStyle w:val="NoSpacing"/>
        <w:rPr>
          <w:rFonts w:asciiTheme="minorHAnsi" w:hAnsiTheme="minorHAnsi" w:cstheme="minorHAnsi"/>
          <w:sz w:val="24"/>
          <w:szCs w:val="24"/>
        </w:rPr>
      </w:pPr>
    </w:p>
    <w:sectPr w:rsidR="00C32843" w:rsidRPr="00AE1B04" w:rsidSect="00795F1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winkl">
    <w:altName w:val="Times New Roman"/>
    <w:charset w:val="00"/>
    <w:family w:val="auto"/>
    <w:pitch w:val="variable"/>
    <w:sig w:usb0="00000001" w:usb1="5000205B"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43"/>
    <w:rsid w:val="00083F9A"/>
    <w:rsid w:val="000D530A"/>
    <w:rsid w:val="00125E1D"/>
    <w:rsid w:val="001A3974"/>
    <w:rsid w:val="002A5301"/>
    <w:rsid w:val="0034646E"/>
    <w:rsid w:val="00367D3A"/>
    <w:rsid w:val="003B5523"/>
    <w:rsid w:val="003E2951"/>
    <w:rsid w:val="003E4B32"/>
    <w:rsid w:val="003E66BA"/>
    <w:rsid w:val="004B4F9B"/>
    <w:rsid w:val="00504A20"/>
    <w:rsid w:val="005839C0"/>
    <w:rsid w:val="00675BCA"/>
    <w:rsid w:val="006975DB"/>
    <w:rsid w:val="00795F19"/>
    <w:rsid w:val="007D75FA"/>
    <w:rsid w:val="00862CE8"/>
    <w:rsid w:val="0091415D"/>
    <w:rsid w:val="00A44CC5"/>
    <w:rsid w:val="00AD0B00"/>
    <w:rsid w:val="00AE1B04"/>
    <w:rsid w:val="00B470CA"/>
    <w:rsid w:val="00B908AE"/>
    <w:rsid w:val="00C32843"/>
    <w:rsid w:val="00D16CFC"/>
    <w:rsid w:val="00E00E0A"/>
    <w:rsid w:val="00E22B6D"/>
    <w:rsid w:val="00E331DC"/>
    <w:rsid w:val="00EF66F5"/>
    <w:rsid w:val="00F7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0"/>
    <w:rPr>
      <w:rFonts w:ascii="Tahoma" w:eastAsia="Calibri" w:hAnsi="Tahoma" w:cs="Tahoma"/>
      <w:sz w:val="16"/>
      <w:szCs w:val="16"/>
    </w:rPr>
  </w:style>
  <w:style w:type="character" w:styleId="Hyperlink">
    <w:name w:val="Hyperlink"/>
    <w:basedOn w:val="DefaultParagraphFont"/>
    <w:uiPriority w:val="99"/>
    <w:unhideWhenUsed/>
    <w:rsid w:val="00B908AE"/>
    <w:rPr>
      <w:color w:val="0000FF"/>
      <w:u w:val="single"/>
    </w:rPr>
  </w:style>
  <w:style w:type="table" w:styleId="TableGrid">
    <w:name w:val="Table Grid"/>
    <w:basedOn w:val="TableNormal"/>
    <w:uiPriority w:val="59"/>
    <w:rsid w:val="00795F19"/>
    <w:pPr>
      <w:spacing w:after="0" w:line="240" w:lineRule="auto"/>
    </w:pPr>
    <w:rPr>
      <w:rFonts w:ascii="Comic Sans MS" w:eastAsia="Calibri" w:hAnsi="Comic Sans M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4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D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00"/>
    <w:rPr>
      <w:rFonts w:ascii="Tahoma" w:eastAsia="Calibri" w:hAnsi="Tahoma" w:cs="Tahoma"/>
      <w:sz w:val="16"/>
      <w:szCs w:val="16"/>
    </w:rPr>
  </w:style>
  <w:style w:type="character" w:styleId="Hyperlink">
    <w:name w:val="Hyperlink"/>
    <w:basedOn w:val="DefaultParagraphFont"/>
    <w:uiPriority w:val="99"/>
    <w:unhideWhenUsed/>
    <w:rsid w:val="00B908AE"/>
    <w:rPr>
      <w:color w:val="0000FF"/>
      <w:u w:val="single"/>
    </w:rPr>
  </w:style>
  <w:style w:type="table" w:styleId="TableGrid">
    <w:name w:val="Table Grid"/>
    <w:basedOn w:val="TableNormal"/>
    <w:uiPriority w:val="59"/>
    <w:rsid w:val="00795F19"/>
    <w:pPr>
      <w:spacing w:after="0" w:line="240" w:lineRule="auto"/>
    </w:pPr>
    <w:rPr>
      <w:rFonts w:ascii="Comic Sans MS" w:eastAsia="Calibri" w:hAnsi="Comic Sans M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Lesley Tabb</cp:lastModifiedBy>
  <cp:revision>2</cp:revision>
  <dcterms:created xsi:type="dcterms:W3CDTF">2019-10-15T21:28:00Z</dcterms:created>
  <dcterms:modified xsi:type="dcterms:W3CDTF">2019-10-15T21:28:00Z</dcterms:modified>
</cp:coreProperties>
</file>